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4F59" w14:textId="77777777" w:rsidR="000F7513" w:rsidRPr="00DB545A" w:rsidRDefault="000F7513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 w:rsidRPr="00DB545A">
        <w:rPr>
          <w:rFonts w:ascii="Times New Roman" w:eastAsia="Times New Roman" w:hAnsi="Times New Roman" w:cs="Times New Roman"/>
          <w:color w:val="201F1E"/>
        </w:rPr>
        <w:t> </w:t>
      </w:r>
    </w:p>
    <w:p w14:paraId="4B6D75DC" w14:textId="77777777" w:rsidR="00454CB3" w:rsidRDefault="00454CB3" w:rsidP="00454CB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01F1E"/>
        </w:rPr>
      </w:pPr>
      <w:r w:rsidRPr="0014474D">
        <w:rPr>
          <w:rFonts w:cs="Times New Roman"/>
          <w:b/>
          <w:i/>
          <w:iCs/>
          <w:noProof/>
        </w:rPr>
        <w:drawing>
          <wp:inline distT="0" distB="0" distL="0" distR="0" wp14:anchorId="70C0C60D" wp14:editId="2E7AD05E">
            <wp:extent cx="4505325" cy="1126331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R p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051" cy="11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FF0C" w14:textId="77777777" w:rsidR="00454CB3" w:rsidRDefault="00454CB3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0690A585" w14:textId="414F5F33" w:rsidR="006202B5" w:rsidRPr="008C3B5E" w:rsidRDefault="00111C7E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As mentioned in</w:t>
      </w:r>
      <w:r w:rsidR="008C3B5E">
        <w:rPr>
          <w:rFonts w:ascii="Times New Roman" w:eastAsia="Times New Roman" w:hAnsi="Times New Roman" w:cs="Times New Roman"/>
          <w:color w:val="201F1E"/>
        </w:rPr>
        <w:t xml:space="preserve"> the</w:t>
      </w:r>
      <w:r>
        <w:rPr>
          <w:rFonts w:ascii="Times New Roman" w:eastAsia="Times New Roman" w:hAnsi="Times New Roman" w:cs="Times New Roman"/>
          <w:color w:val="201F1E"/>
        </w:rPr>
        <w:t xml:space="preserve"> President</w:t>
      </w:r>
      <w:r w:rsidR="008C3B5E">
        <w:rPr>
          <w:rFonts w:ascii="Times New Roman" w:eastAsia="Times New Roman" w:hAnsi="Times New Roman" w:cs="Times New Roman"/>
          <w:color w:val="201F1E"/>
        </w:rPr>
        <w:t>’</w:t>
      </w:r>
      <w:r>
        <w:rPr>
          <w:rFonts w:ascii="Times New Roman" w:eastAsia="Times New Roman" w:hAnsi="Times New Roman" w:cs="Times New Roman"/>
          <w:color w:val="201F1E"/>
        </w:rPr>
        <w:t>s message</w:t>
      </w:r>
      <w:r w:rsidR="008C3B5E">
        <w:rPr>
          <w:rFonts w:ascii="Times New Roman" w:eastAsia="Times New Roman" w:hAnsi="Times New Roman" w:cs="Times New Roman"/>
          <w:color w:val="201F1E"/>
        </w:rPr>
        <w:t xml:space="preserve"> today</w:t>
      </w:r>
      <w:r>
        <w:rPr>
          <w:rFonts w:ascii="Times New Roman" w:eastAsia="Times New Roman" w:hAnsi="Times New Roman" w:cs="Times New Roman"/>
          <w:color w:val="201F1E"/>
        </w:rPr>
        <w:t xml:space="preserve">, Chapman has </w:t>
      </w:r>
      <w:r w:rsidR="006202B5" w:rsidRPr="00DB545A">
        <w:rPr>
          <w:rFonts w:ascii="Times New Roman" w:eastAsia="Times New Roman" w:hAnsi="Times New Roman" w:cs="Times New Roman"/>
          <w:color w:val="201F1E"/>
        </w:rPr>
        <w:t>received approval from the O</w:t>
      </w:r>
      <w:r w:rsidR="00EB3E13">
        <w:rPr>
          <w:rFonts w:ascii="Times New Roman" w:eastAsia="Times New Roman" w:hAnsi="Times New Roman" w:cs="Times New Roman"/>
          <w:color w:val="201F1E"/>
        </w:rPr>
        <w:t>C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Health Care Agency to move from Phase 1 to Phase 2 in restarting research. </w:t>
      </w:r>
      <w:r>
        <w:rPr>
          <w:rFonts w:ascii="Times New Roman" w:eastAsia="Times New Roman" w:hAnsi="Times New Roman" w:cs="Times New Roman"/>
          <w:color w:val="201F1E"/>
        </w:rPr>
        <w:t xml:space="preserve">A </w:t>
      </w:r>
      <w:r w:rsidR="008C3482">
        <w:rPr>
          <w:rFonts w:ascii="Times New Roman" w:eastAsia="Times New Roman" w:hAnsi="Times New Roman" w:cs="Times New Roman"/>
          <w:color w:val="201F1E"/>
        </w:rPr>
        <w:t>20-member</w:t>
      </w:r>
      <w:r>
        <w:rPr>
          <w:rFonts w:ascii="Times New Roman" w:eastAsia="Times New Roman" w:hAnsi="Times New Roman" w:cs="Times New Roman"/>
          <w:color w:val="201F1E"/>
        </w:rPr>
        <w:t xml:space="preserve"> </w:t>
      </w:r>
      <w:r w:rsidR="002D3532">
        <w:rPr>
          <w:rFonts w:ascii="Times New Roman" w:eastAsia="Times New Roman" w:hAnsi="Times New Roman" w:cs="Times New Roman"/>
          <w:color w:val="201F1E"/>
        </w:rPr>
        <w:t>t</w:t>
      </w:r>
      <w:r>
        <w:rPr>
          <w:rFonts w:ascii="Times New Roman" w:eastAsia="Times New Roman" w:hAnsi="Times New Roman" w:cs="Times New Roman"/>
          <w:color w:val="201F1E"/>
        </w:rPr>
        <w:t xml:space="preserve">ask </w:t>
      </w:r>
      <w:r w:rsidR="002D3532">
        <w:rPr>
          <w:rFonts w:ascii="Times New Roman" w:eastAsia="Times New Roman" w:hAnsi="Times New Roman" w:cs="Times New Roman"/>
          <w:color w:val="201F1E"/>
        </w:rPr>
        <w:t>f</w:t>
      </w:r>
      <w:r>
        <w:rPr>
          <w:rFonts w:ascii="Times New Roman" w:eastAsia="Times New Roman" w:hAnsi="Times New Roman" w:cs="Times New Roman"/>
          <w:color w:val="201F1E"/>
        </w:rPr>
        <w:t>orce of faculty, staff</w:t>
      </w:r>
      <w:r w:rsidR="002D3532">
        <w:rPr>
          <w:rFonts w:ascii="Times New Roman" w:eastAsia="Times New Roman" w:hAnsi="Times New Roman" w:cs="Times New Roman"/>
          <w:color w:val="201F1E"/>
        </w:rPr>
        <w:t xml:space="preserve">, </w:t>
      </w:r>
      <w:r>
        <w:rPr>
          <w:rFonts w:ascii="Times New Roman" w:eastAsia="Times New Roman" w:hAnsi="Times New Roman" w:cs="Times New Roman"/>
          <w:color w:val="201F1E"/>
        </w:rPr>
        <w:t xml:space="preserve">and administrators developed a comprehensive </w:t>
      </w:r>
      <w:r w:rsidRPr="00111C7E">
        <w:rPr>
          <w:rFonts w:ascii="Times New Roman" w:eastAsia="Times New Roman" w:hAnsi="Times New Roman" w:cs="Times New Roman"/>
          <w:i/>
          <w:iCs/>
          <w:color w:val="201F1E"/>
        </w:rPr>
        <w:t>Phased Approached to Restarting Research and Creative Activities</w:t>
      </w:r>
      <w:r>
        <w:rPr>
          <w:rFonts w:ascii="Times New Roman" w:eastAsia="Times New Roman" w:hAnsi="Times New Roman" w:cs="Times New Roman"/>
          <w:color w:val="201F1E"/>
        </w:rPr>
        <w:t xml:space="preserve"> providing 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detailed guidance that complies with the State of California and </w:t>
      </w:r>
      <w:r w:rsidR="00EB3E13">
        <w:rPr>
          <w:rFonts w:ascii="Times New Roman" w:eastAsia="Times New Roman" w:hAnsi="Times New Roman" w:cs="Times New Roman"/>
          <w:color w:val="201F1E"/>
        </w:rPr>
        <w:t>OC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Health Care Agency requirements</w:t>
      </w:r>
      <w:r w:rsidR="00095B9F">
        <w:rPr>
          <w:rFonts w:ascii="Times New Roman" w:eastAsia="Times New Roman" w:hAnsi="Times New Roman" w:cs="Times New Roman"/>
          <w:color w:val="201F1E"/>
        </w:rPr>
        <w:t xml:space="preserve"> to ensure health and safety</w:t>
      </w:r>
      <w:r w:rsidR="006202B5" w:rsidRPr="00DB545A">
        <w:rPr>
          <w:rFonts w:ascii="Times New Roman" w:eastAsia="Times New Roman" w:hAnsi="Times New Roman" w:cs="Times New Roman"/>
          <w:color w:val="201F1E"/>
        </w:rPr>
        <w:t>. In addition</w:t>
      </w:r>
      <w:r w:rsidR="00EB3E13">
        <w:rPr>
          <w:rFonts w:ascii="Times New Roman" w:eastAsia="Times New Roman" w:hAnsi="Times New Roman" w:cs="Times New Roman"/>
          <w:color w:val="201F1E"/>
        </w:rPr>
        <w:t xml:space="preserve">, the plan aligns with </w:t>
      </w:r>
      <w:r w:rsidR="006202B5" w:rsidRPr="00DB545A">
        <w:rPr>
          <w:rFonts w:ascii="Times New Roman" w:eastAsia="Times New Roman" w:hAnsi="Times New Roman" w:cs="Times New Roman"/>
          <w:color w:val="201F1E"/>
        </w:rPr>
        <w:t>the health and safety measures outlined in the</w:t>
      </w:r>
      <w:r w:rsidR="000F7513" w:rsidRPr="00DB545A">
        <w:rPr>
          <w:rFonts w:ascii="Times New Roman" w:eastAsia="Times New Roman" w:hAnsi="Times New Roman" w:cs="Times New Roman"/>
          <w:color w:val="201F1E"/>
        </w:rPr>
        <w:t> </w:t>
      </w:r>
      <w:hyperlink r:id="rId6" w:tgtFrame="_blank" w:history="1">
        <w:r w:rsidR="0027389D" w:rsidRPr="00DB545A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CU Safely Back plan</w:t>
        </w:r>
      </w:hyperlink>
      <w:r w:rsidR="000F7513" w:rsidRPr="00DB545A">
        <w:rPr>
          <w:rFonts w:ascii="Times New Roman" w:eastAsia="Times New Roman" w:hAnsi="Times New Roman" w:cs="Times New Roman"/>
          <w:color w:val="201F1E"/>
        </w:rPr>
        <w:t> 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including </w:t>
      </w:r>
      <w:r w:rsidR="008C3B5E">
        <w:rPr>
          <w:rFonts w:ascii="Times New Roman" w:eastAsia="Times New Roman" w:hAnsi="Times New Roman" w:cs="Times New Roman"/>
          <w:color w:val="201F1E"/>
        </w:rPr>
        <w:t>p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hysical </w:t>
      </w:r>
      <w:r w:rsidR="008C3B5E">
        <w:rPr>
          <w:rFonts w:ascii="Times New Roman" w:eastAsia="Times New Roman" w:hAnsi="Times New Roman" w:cs="Times New Roman"/>
          <w:color w:val="201F1E"/>
        </w:rPr>
        <w:t>d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istancing, </w:t>
      </w:r>
      <w:r w:rsidR="008C3B5E">
        <w:rPr>
          <w:rFonts w:ascii="Times New Roman" w:eastAsia="Times New Roman" w:hAnsi="Times New Roman" w:cs="Times New Roman"/>
          <w:color w:val="201F1E"/>
        </w:rPr>
        <w:t>s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urveillance, </w:t>
      </w:r>
      <w:r w:rsidR="008C3B5E">
        <w:rPr>
          <w:rFonts w:ascii="Times New Roman" w:eastAsia="Times New Roman" w:hAnsi="Times New Roman" w:cs="Times New Roman"/>
          <w:color w:val="201F1E"/>
        </w:rPr>
        <w:t>p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ublic </w:t>
      </w:r>
      <w:r w:rsidR="008C3B5E">
        <w:rPr>
          <w:rFonts w:ascii="Times New Roman" w:eastAsia="Times New Roman" w:hAnsi="Times New Roman" w:cs="Times New Roman"/>
          <w:color w:val="201F1E"/>
        </w:rPr>
        <w:t>h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ealth </w:t>
      </w:r>
      <w:r w:rsidR="008C3B5E">
        <w:rPr>
          <w:rFonts w:ascii="Times New Roman" w:eastAsia="Times New Roman" w:hAnsi="Times New Roman" w:cs="Times New Roman"/>
          <w:color w:val="201F1E"/>
        </w:rPr>
        <w:t>i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nterventions, </w:t>
      </w:r>
      <w:r w:rsidR="008C3B5E">
        <w:rPr>
          <w:rFonts w:ascii="Times New Roman" w:eastAsia="Times New Roman" w:hAnsi="Times New Roman" w:cs="Times New Roman"/>
          <w:color w:val="201F1E"/>
        </w:rPr>
        <w:t>f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ace </w:t>
      </w:r>
      <w:r w:rsidR="008C3B5E">
        <w:rPr>
          <w:rFonts w:ascii="Times New Roman" w:eastAsia="Times New Roman" w:hAnsi="Times New Roman" w:cs="Times New Roman"/>
          <w:color w:val="201F1E"/>
        </w:rPr>
        <w:t>c</w:t>
      </w:r>
      <w:r w:rsidR="000F7513" w:rsidRPr="008C3B5E">
        <w:rPr>
          <w:rFonts w:ascii="Times New Roman" w:eastAsia="Times New Roman" w:hAnsi="Times New Roman" w:cs="Times New Roman"/>
          <w:color w:val="201F1E"/>
        </w:rPr>
        <w:t xml:space="preserve">overings, and </w:t>
      </w:r>
      <w:r w:rsidR="008C3B5E">
        <w:rPr>
          <w:rFonts w:ascii="Times New Roman" w:eastAsia="Times New Roman" w:hAnsi="Times New Roman" w:cs="Times New Roman"/>
          <w:color w:val="201F1E"/>
        </w:rPr>
        <w:t>s</w:t>
      </w:r>
      <w:r w:rsidR="000F7513" w:rsidRPr="008C3B5E">
        <w:rPr>
          <w:rFonts w:ascii="Times New Roman" w:eastAsia="Times New Roman" w:hAnsi="Times New Roman" w:cs="Times New Roman"/>
          <w:color w:val="201F1E"/>
        </w:rPr>
        <w:t>anitation</w:t>
      </w:r>
      <w:r w:rsidR="006202B5" w:rsidRPr="008C3B5E">
        <w:rPr>
          <w:rFonts w:ascii="Times New Roman" w:eastAsia="Times New Roman" w:hAnsi="Times New Roman" w:cs="Times New Roman"/>
          <w:color w:val="201F1E"/>
        </w:rPr>
        <w:t xml:space="preserve">. </w:t>
      </w:r>
    </w:p>
    <w:p w14:paraId="782B23FE" w14:textId="1A945379" w:rsidR="00111C7E" w:rsidRPr="008C3B5E" w:rsidRDefault="00111C7E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4752FBFC" w14:textId="399CC146" w:rsidR="008C3482" w:rsidRPr="008C3482" w:rsidRDefault="008C3482" w:rsidP="000F751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1F1E"/>
        </w:rPr>
      </w:pP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What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is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i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ncluded in Phase 2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a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ctivities? </w:t>
      </w:r>
    </w:p>
    <w:p w14:paraId="548C3F11" w14:textId="02636E69" w:rsidR="006202B5" w:rsidRPr="00DB545A" w:rsidRDefault="006202B5" w:rsidP="006202B5">
      <w:pPr>
        <w:shd w:val="clear" w:color="auto" w:fill="FFFFFF"/>
        <w:rPr>
          <w:rFonts w:ascii="Times New Roman" w:hAnsi="Times New Roman" w:cs="Times New Roman"/>
        </w:rPr>
      </w:pPr>
      <w:r w:rsidRPr="00DB545A">
        <w:rPr>
          <w:rFonts w:ascii="Times New Roman" w:eastAsia="Times New Roman" w:hAnsi="Times New Roman" w:cs="Times New Roman"/>
          <w:color w:val="201F1E"/>
        </w:rPr>
        <w:t>Phase 2 activities include o</w:t>
      </w:r>
      <w:r w:rsidRPr="00DB545A">
        <w:rPr>
          <w:rFonts w:ascii="Times New Roman" w:hAnsi="Times New Roman" w:cs="Times New Roman"/>
        </w:rPr>
        <w:t>ther non-essential research activities requiring Chapman facilities or having significant time sensitive components</w:t>
      </w:r>
      <w:r w:rsidR="005718E0">
        <w:rPr>
          <w:rFonts w:ascii="Times New Roman" w:hAnsi="Times New Roman" w:cs="Times New Roman"/>
        </w:rPr>
        <w:t xml:space="preserve"> (</w:t>
      </w:r>
      <w:r w:rsidR="00372F42">
        <w:rPr>
          <w:rFonts w:ascii="Times New Roman" w:hAnsi="Times New Roman" w:cs="Times New Roman"/>
        </w:rPr>
        <w:t>both</w:t>
      </w:r>
      <w:r w:rsidRPr="00DB545A">
        <w:rPr>
          <w:rFonts w:ascii="Times New Roman" w:hAnsi="Times New Roman" w:cs="Times New Roman"/>
        </w:rPr>
        <w:t xml:space="preserve"> having low risk for virus transmission</w:t>
      </w:r>
      <w:r w:rsidR="005718E0">
        <w:rPr>
          <w:rFonts w:ascii="Times New Roman" w:hAnsi="Times New Roman" w:cs="Times New Roman"/>
        </w:rPr>
        <w:t>)</w:t>
      </w:r>
      <w:r w:rsidRPr="00DB545A">
        <w:rPr>
          <w:rFonts w:ascii="Times New Roman" w:hAnsi="Times New Roman" w:cs="Times New Roman"/>
        </w:rPr>
        <w:t xml:space="preserve">. This includes: </w:t>
      </w:r>
    </w:p>
    <w:p w14:paraId="235C5E99" w14:textId="7CF61385" w:rsidR="006202B5" w:rsidRPr="00D679EB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679EB">
        <w:rPr>
          <w:rFonts w:cs="Times New Roman"/>
        </w:rPr>
        <w:t xml:space="preserve">Research in the areas covered by State of California </w:t>
      </w:r>
      <w:hyperlink r:id="rId7" w:history="1">
        <w:r w:rsidR="00DA38EA">
          <w:rPr>
            <w:rStyle w:val="Hyperlink"/>
            <w:rFonts w:cs="Times New Roman"/>
          </w:rPr>
          <w:t>Essential Workforce Sectors</w:t>
        </w:r>
      </w:hyperlink>
      <w:r w:rsidRPr="00D679EB">
        <w:rPr>
          <w:rFonts w:cs="Times New Roman"/>
        </w:rPr>
        <w:t xml:space="preserve">. </w:t>
      </w:r>
    </w:p>
    <w:p w14:paraId="29A5CAE1" w14:textId="4DBE5200" w:rsidR="006202B5" w:rsidRPr="00D679EB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679EB">
        <w:rPr>
          <w:rFonts w:cs="Times New Roman"/>
        </w:rPr>
        <w:t xml:space="preserve">Laboratory-based research with low density of populations in facilities </w:t>
      </w:r>
    </w:p>
    <w:p w14:paraId="5864F586" w14:textId="14DDFEA9" w:rsidR="006202B5" w:rsidRPr="00D679EB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679EB">
        <w:rPr>
          <w:rFonts w:cs="Times New Roman"/>
        </w:rPr>
        <w:t>Research engaging students who are close to completing degrees where these activities are part of a degree requirement in the areas noted above by the State</w:t>
      </w:r>
      <w:r w:rsidR="00372F42">
        <w:rPr>
          <w:rFonts w:cs="Times New Roman"/>
        </w:rPr>
        <w:t>,</w:t>
      </w:r>
      <w:r w:rsidRPr="00D679EB">
        <w:rPr>
          <w:rFonts w:cs="Times New Roman"/>
        </w:rPr>
        <w:t xml:space="preserve"> and are not part of laboratory classes</w:t>
      </w:r>
    </w:p>
    <w:p w14:paraId="342C0313" w14:textId="237F5F28" w:rsidR="006202B5" w:rsidRPr="00DB545A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679EB">
        <w:rPr>
          <w:rFonts w:cs="Times New Roman"/>
        </w:rPr>
        <w:t>Expansion of human subject research where risk can be mitigated to minimal level and no</w:t>
      </w:r>
      <w:r w:rsidRPr="00DB545A">
        <w:rPr>
          <w:rFonts w:cs="Times New Roman"/>
        </w:rPr>
        <w:t xml:space="preserve"> direct benefit</w:t>
      </w:r>
    </w:p>
    <w:p w14:paraId="177ED13D" w14:textId="1BD0A056" w:rsidR="006202B5" w:rsidRPr="00DB545A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B545A">
        <w:rPr>
          <w:rFonts w:cs="Times New Roman"/>
        </w:rPr>
        <w:t xml:space="preserve">Field data requiring collection during a given season (i.e. summer). Approval will depend on restrictions in locality </w:t>
      </w:r>
      <w:r w:rsidR="00372F42">
        <w:rPr>
          <w:rFonts w:cs="Times New Roman"/>
        </w:rPr>
        <w:t xml:space="preserve">keeping in mind </w:t>
      </w:r>
      <w:r w:rsidRPr="00DB545A">
        <w:rPr>
          <w:rFonts w:cs="Times New Roman"/>
        </w:rPr>
        <w:t>travel restrictions</w:t>
      </w:r>
    </w:p>
    <w:p w14:paraId="772DC2C2" w14:textId="24B47DC7" w:rsidR="006202B5" w:rsidRPr="00DB545A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B545A">
        <w:rPr>
          <w:rFonts w:cs="Times New Roman"/>
        </w:rPr>
        <w:t xml:space="preserve">Animal experiments that can be performed by a single researcher in relative isolation </w:t>
      </w:r>
    </w:p>
    <w:p w14:paraId="75F2925E" w14:textId="77777777" w:rsidR="006202B5" w:rsidRPr="00DB545A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B545A">
        <w:rPr>
          <w:rFonts w:cs="Times New Roman"/>
        </w:rPr>
        <w:t xml:space="preserve">Activities that are still able to meet all sponsor requirements </w:t>
      </w:r>
    </w:p>
    <w:p w14:paraId="773E1F1C" w14:textId="54CF24D8" w:rsidR="006202B5" w:rsidRPr="00DB545A" w:rsidRDefault="006202B5" w:rsidP="006202B5">
      <w:pPr>
        <w:pStyle w:val="ListParagraph"/>
        <w:numPr>
          <w:ilvl w:val="0"/>
          <w:numId w:val="3"/>
        </w:numPr>
        <w:rPr>
          <w:rFonts w:cs="Times New Roman"/>
        </w:rPr>
      </w:pPr>
      <w:r w:rsidRPr="00DB545A">
        <w:rPr>
          <w:rFonts w:cs="Times New Roman"/>
          <w:b/>
          <w:bCs/>
        </w:rPr>
        <w:t>Limited</w:t>
      </w:r>
      <w:r w:rsidRPr="00DB545A">
        <w:rPr>
          <w:rFonts w:cs="Times New Roman"/>
        </w:rPr>
        <w:t xml:space="preserve"> use of offices and of campus </w:t>
      </w:r>
      <w:r w:rsidR="00372F42">
        <w:rPr>
          <w:rFonts w:cs="Times New Roman"/>
        </w:rPr>
        <w:t>l</w:t>
      </w:r>
      <w:r w:rsidRPr="00DB545A">
        <w:rPr>
          <w:rFonts w:cs="Times New Roman"/>
        </w:rPr>
        <w:t xml:space="preserve">ibraries using social distancing protocols for scholarship which </w:t>
      </w:r>
      <w:r w:rsidR="00372F42" w:rsidRPr="00DB545A">
        <w:rPr>
          <w:rFonts w:cs="Times New Roman"/>
        </w:rPr>
        <w:t>cannot</w:t>
      </w:r>
      <w:r w:rsidRPr="00DB545A">
        <w:rPr>
          <w:rFonts w:cs="Times New Roman"/>
        </w:rPr>
        <w:t xml:space="preserve"> be completed remotely</w:t>
      </w:r>
      <w:r w:rsidRPr="00DB545A">
        <w:rPr>
          <w:rFonts w:eastAsia="Times New Roman" w:cs="Times New Roman"/>
          <w:b/>
          <w:bCs/>
          <w:color w:val="201F1E"/>
        </w:rPr>
        <w:t xml:space="preserve"> </w:t>
      </w:r>
    </w:p>
    <w:p w14:paraId="6BCF329A" w14:textId="20332172" w:rsidR="006202B5" w:rsidRDefault="006202B5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07E1E59D" w14:textId="26D9D49E" w:rsidR="00532C57" w:rsidRPr="008C3482" w:rsidRDefault="00532C57" w:rsidP="00532C5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1F1E"/>
        </w:rPr>
      </w:pP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When will Phase 2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a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ctivities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s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tart? </w:t>
      </w:r>
    </w:p>
    <w:p w14:paraId="00327C39" w14:textId="6189CA9A" w:rsidR="00532C57" w:rsidRDefault="00532C57" w:rsidP="00532C57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The initial phase of the plan to transition from Phase 1 (current phase) to Phase 2 </w:t>
      </w:r>
      <w:r w:rsidR="00745998">
        <w:rPr>
          <w:rFonts w:ascii="Times New Roman" w:eastAsia="Times New Roman" w:hAnsi="Times New Roman" w:cs="Times New Roman"/>
          <w:color w:val="201F1E"/>
        </w:rPr>
        <w:t xml:space="preserve">with </w:t>
      </w:r>
      <w:r>
        <w:rPr>
          <w:rFonts w:ascii="Times New Roman" w:eastAsia="Times New Roman" w:hAnsi="Times New Roman" w:cs="Times New Roman"/>
          <w:color w:val="201F1E"/>
        </w:rPr>
        <w:t>limited expansion of research activities</w:t>
      </w:r>
      <w:r w:rsidRPr="00111C7E">
        <w:rPr>
          <w:rFonts w:ascii="Times New Roman" w:eastAsia="Times New Roman" w:hAnsi="Times New Roman" w:cs="Times New Roman"/>
          <w:b/>
          <w:bCs/>
          <w:color w:val="201F1E"/>
        </w:rPr>
        <w:t xml:space="preserve"> </w:t>
      </w:r>
      <w:r w:rsidRPr="00532C57">
        <w:rPr>
          <w:rFonts w:ascii="Times New Roman" w:eastAsia="Times New Roman" w:hAnsi="Times New Roman" w:cs="Times New Roman"/>
          <w:color w:val="201F1E"/>
        </w:rPr>
        <w:t xml:space="preserve">will take place on </w:t>
      </w:r>
      <w:r w:rsidRPr="00111C7E">
        <w:rPr>
          <w:rFonts w:ascii="Times New Roman" w:eastAsia="Times New Roman" w:hAnsi="Times New Roman" w:cs="Times New Roman"/>
          <w:b/>
          <w:bCs/>
          <w:color w:val="201F1E"/>
        </w:rPr>
        <w:t>June 22</w:t>
      </w:r>
      <w:r w:rsidRPr="00111C7E">
        <w:rPr>
          <w:rFonts w:ascii="Times New Roman" w:eastAsia="Times New Roman" w:hAnsi="Times New Roman" w:cs="Times New Roman"/>
          <w:b/>
          <w:bCs/>
          <w:color w:val="201F1E"/>
          <w:vertAlign w:val="superscript"/>
        </w:rPr>
        <w:t>nd</w:t>
      </w:r>
      <w:r w:rsidRPr="00111C7E">
        <w:rPr>
          <w:rFonts w:ascii="Times New Roman" w:eastAsia="Times New Roman" w:hAnsi="Times New Roman" w:cs="Times New Roman"/>
          <w:b/>
          <w:bCs/>
          <w:color w:val="201F1E"/>
        </w:rPr>
        <w:t>.</w:t>
      </w:r>
      <w:r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6496CA75" w14:textId="77777777" w:rsidR="00532C57" w:rsidRDefault="00532C57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30DFD0BB" w14:textId="5F753169" w:rsidR="008C3482" w:rsidRPr="008C3482" w:rsidRDefault="008C3482" w:rsidP="000F751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1F1E"/>
        </w:rPr>
      </w:pP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How do I request approval for Phase 2 </w:t>
      </w:r>
      <w:r w:rsidR="00E72AB0">
        <w:rPr>
          <w:rFonts w:ascii="Times New Roman" w:eastAsia="Times New Roman" w:hAnsi="Times New Roman" w:cs="Times New Roman"/>
          <w:b/>
          <w:bCs/>
          <w:color w:val="201F1E"/>
        </w:rPr>
        <w:t>a</w:t>
      </w:r>
      <w:r w:rsidRPr="008C3482">
        <w:rPr>
          <w:rFonts w:ascii="Times New Roman" w:eastAsia="Times New Roman" w:hAnsi="Times New Roman" w:cs="Times New Roman"/>
          <w:b/>
          <w:bCs/>
          <w:color w:val="201F1E"/>
        </w:rPr>
        <w:t xml:space="preserve">ctivities? </w:t>
      </w:r>
    </w:p>
    <w:p w14:paraId="11EE53EF" w14:textId="7BF83047" w:rsidR="008C3482" w:rsidRDefault="008C3482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If f</w:t>
      </w:r>
      <w:r w:rsidR="00111C7E">
        <w:rPr>
          <w:rFonts w:ascii="Times New Roman" w:eastAsia="Times New Roman" w:hAnsi="Times New Roman" w:cs="Times New Roman"/>
          <w:color w:val="201F1E"/>
        </w:rPr>
        <w:t>aculty researchers</w:t>
      </w:r>
      <w:r>
        <w:rPr>
          <w:rFonts w:ascii="Times New Roman" w:eastAsia="Times New Roman" w:hAnsi="Times New Roman" w:cs="Times New Roman"/>
          <w:color w:val="201F1E"/>
        </w:rPr>
        <w:t xml:space="preserve"> think their activities align with Phase 2</w:t>
      </w:r>
      <w:r w:rsidR="00745998">
        <w:rPr>
          <w:rFonts w:ascii="Times New Roman" w:eastAsia="Times New Roman" w:hAnsi="Times New Roman" w:cs="Times New Roman"/>
          <w:color w:val="201F1E"/>
        </w:rPr>
        <w:t xml:space="preserve"> requirements noted above</w:t>
      </w:r>
      <w:r>
        <w:rPr>
          <w:rFonts w:ascii="Times New Roman" w:eastAsia="Times New Roman" w:hAnsi="Times New Roman" w:cs="Times New Roman"/>
          <w:color w:val="201F1E"/>
        </w:rPr>
        <w:t>, they</w:t>
      </w:r>
      <w:r w:rsidR="00111C7E">
        <w:rPr>
          <w:rFonts w:ascii="Times New Roman" w:eastAsia="Times New Roman" w:hAnsi="Times New Roman" w:cs="Times New Roman"/>
          <w:color w:val="201F1E"/>
        </w:rPr>
        <w:t xml:space="preserve"> will </w:t>
      </w:r>
      <w:r w:rsidR="00745998">
        <w:rPr>
          <w:rFonts w:ascii="Times New Roman" w:eastAsia="Times New Roman" w:hAnsi="Times New Roman" w:cs="Times New Roman"/>
          <w:color w:val="201F1E"/>
        </w:rPr>
        <w:t>need</w:t>
      </w:r>
      <w:r w:rsidR="00111C7E">
        <w:rPr>
          <w:rFonts w:ascii="Times New Roman" w:eastAsia="Times New Roman" w:hAnsi="Times New Roman" w:cs="Times New Roman"/>
          <w:color w:val="201F1E"/>
        </w:rPr>
        <w:t xml:space="preserve"> </w:t>
      </w:r>
      <w:r w:rsidR="00111C7E" w:rsidRPr="00111C7E">
        <w:rPr>
          <w:rFonts w:ascii="Times New Roman" w:eastAsia="Times New Roman" w:hAnsi="Times New Roman" w:cs="Times New Roman"/>
          <w:color w:val="201F1E"/>
        </w:rPr>
        <w:t xml:space="preserve">to submit </w:t>
      </w:r>
      <w:r w:rsidR="00372F42">
        <w:rPr>
          <w:rFonts w:ascii="Times New Roman" w:eastAsia="Times New Roman" w:hAnsi="Times New Roman" w:cs="Times New Roman"/>
          <w:color w:val="201F1E"/>
        </w:rPr>
        <w:t xml:space="preserve">an </w:t>
      </w:r>
      <w:r w:rsidR="00111C7E" w:rsidRPr="00372F42">
        <w:rPr>
          <w:rFonts w:ascii="Times New Roman" w:eastAsia="Times New Roman" w:hAnsi="Times New Roman" w:cs="Times New Roman"/>
          <w:i/>
          <w:iCs/>
          <w:color w:val="201F1E"/>
        </w:rPr>
        <w:t>Assessment and Site-Specific Plan</w:t>
      </w:r>
      <w:r w:rsidR="00111C7E" w:rsidRPr="00111C7E">
        <w:rPr>
          <w:rFonts w:ascii="Times New Roman" w:eastAsia="Times New Roman" w:hAnsi="Times New Roman" w:cs="Times New Roman"/>
          <w:color w:val="201F1E"/>
        </w:rPr>
        <w:t xml:space="preserve"> that assess the readiness of COVID-19 health and safety conditions and plans for mitigating any impacts. </w:t>
      </w:r>
      <w:r w:rsidR="00111C7E">
        <w:rPr>
          <w:rFonts w:ascii="Times New Roman" w:eastAsia="Times New Roman" w:hAnsi="Times New Roman" w:cs="Times New Roman"/>
          <w:color w:val="201F1E"/>
        </w:rPr>
        <w:t>Specific guidance is also provided for laboratory research, field research, human subjects research</w:t>
      </w:r>
      <w:r w:rsidR="00372F42">
        <w:rPr>
          <w:rFonts w:ascii="Times New Roman" w:eastAsia="Times New Roman" w:hAnsi="Times New Roman" w:cs="Times New Roman"/>
          <w:color w:val="201F1E"/>
        </w:rPr>
        <w:t>,</w:t>
      </w:r>
      <w:r w:rsidR="00111C7E">
        <w:rPr>
          <w:rFonts w:ascii="Times New Roman" w:eastAsia="Times New Roman" w:hAnsi="Times New Roman" w:cs="Times New Roman"/>
          <w:color w:val="201F1E"/>
        </w:rPr>
        <w:t xml:space="preserve"> and animal research.</w:t>
      </w:r>
      <w:r>
        <w:rPr>
          <w:rFonts w:ascii="Times New Roman" w:eastAsia="Times New Roman" w:hAnsi="Times New Roman" w:cs="Times New Roman"/>
          <w:color w:val="201F1E"/>
        </w:rPr>
        <w:t xml:space="preserve"> These will be reviewed and approved by the cognizant dean and Vice President for Research. </w:t>
      </w:r>
    </w:p>
    <w:p w14:paraId="2451B3AA" w14:textId="6D663B6D" w:rsidR="008C3482" w:rsidRDefault="008C3482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0602A70F" w14:textId="0D5A8569" w:rsidR="008C3482" w:rsidRPr="008C3482" w:rsidRDefault="008C3482" w:rsidP="000F751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1F1E"/>
        </w:rPr>
      </w:pPr>
      <w:r w:rsidRPr="008C3482">
        <w:rPr>
          <w:rFonts w:ascii="Times New Roman" w:eastAsia="Times New Roman" w:hAnsi="Times New Roman" w:cs="Times New Roman"/>
          <w:b/>
          <w:bCs/>
          <w:color w:val="201F1E"/>
        </w:rPr>
        <w:lastRenderedPageBreak/>
        <w:t xml:space="preserve">Where can I access information for Research Continuity? </w:t>
      </w:r>
    </w:p>
    <w:p w14:paraId="557651C6" w14:textId="0618BA76" w:rsidR="006202B5" w:rsidRDefault="008C3482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Complete </w:t>
      </w:r>
      <w:r w:rsidR="006202B5" w:rsidRPr="00DB545A">
        <w:rPr>
          <w:rFonts w:ascii="Times New Roman" w:eastAsia="Times New Roman" w:hAnsi="Times New Roman" w:cs="Times New Roman"/>
          <w:color w:val="201F1E"/>
        </w:rPr>
        <w:t>information</w:t>
      </w:r>
      <w:r>
        <w:rPr>
          <w:rFonts w:ascii="Times New Roman" w:eastAsia="Times New Roman" w:hAnsi="Times New Roman" w:cs="Times New Roman"/>
          <w:color w:val="201F1E"/>
        </w:rPr>
        <w:t xml:space="preserve"> including guiding principles, phase descriptions, guidance and templates </w:t>
      </w:r>
      <w:r w:rsidR="00532C57">
        <w:rPr>
          <w:rFonts w:ascii="Times New Roman" w:eastAsia="Times New Roman" w:hAnsi="Times New Roman" w:cs="Times New Roman"/>
          <w:color w:val="201F1E"/>
        </w:rPr>
        <w:t xml:space="preserve">for </w:t>
      </w:r>
      <w:r w:rsidR="00372F42">
        <w:rPr>
          <w:rFonts w:ascii="Times New Roman" w:eastAsia="Times New Roman" w:hAnsi="Times New Roman" w:cs="Times New Roman"/>
          <w:color w:val="201F1E"/>
        </w:rPr>
        <w:t>a</w:t>
      </w:r>
      <w:r w:rsidR="00095B9F">
        <w:rPr>
          <w:rFonts w:ascii="Times New Roman" w:eastAsia="Times New Roman" w:hAnsi="Times New Roman" w:cs="Times New Roman"/>
          <w:color w:val="201F1E"/>
        </w:rPr>
        <w:t xml:space="preserve">ssessment and </w:t>
      </w:r>
      <w:r w:rsidR="00372F42">
        <w:rPr>
          <w:rFonts w:ascii="Times New Roman" w:eastAsia="Times New Roman" w:hAnsi="Times New Roman" w:cs="Times New Roman"/>
          <w:color w:val="201F1E"/>
        </w:rPr>
        <w:t>s</w:t>
      </w:r>
      <w:r w:rsidR="00095B9F">
        <w:rPr>
          <w:rFonts w:ascii="Times New Roman" w:eastAsia="Times New Roman" w:hAnsi="Times New Roman" w:cs="Times New Roman"/>
          <w:color w:val="201F1E"/>
        </w:rPr>
        <w:t xml:space="preserve">ite </w:t>
      </w:r>
      <w:r w:rsidR="00372F42">
        <w:rPr>
          <w:rFonts w:ascii="Times New Roman" w:eastAsia="Times New Roman" w:hAnsi="Times New Roman" w:cs="Times New Roman"/>
          <w:color w:val="201F1E"/>
        </w:rPr>
        <w:t>s</w:t>
      </w:r>
      <w:r w:rsidR="00095B9F">
        <w:rPr>
          <w:rFonts w:ascii="Times New Roman" w:eastAsia="Times New Roman" w:hAnsi="Times New Roman" w:cs="Times New Roman"/>
          <w:color w:val="201F1E"/>
        </w:rPr>
        <w:t xml:space="preserve">pecific </w:t>
      </w:r>
      <w:r w:rsidR="00372F42">
        <w:rPr>
          <w:rFonts w:ascii="Times New Roman" w:eastAsia="Times New Roman" w:hAnsi="Times New Roman" w:cs="Times New Roman"/>
          <w:color w:val="201F1E"/>
        </w:rPr>
        <w:t>p</w:t>
      </w:r>
      <w:r w:rsidR="00095B9F">
        <w:rPr>
          <w:rFonts w:ascii="Times New Roman" w:eastAsia="Times New Roman" w:hAnsi="Times New Roman" w:cs="Times New Roman"/>
          <w:color w:val="201F1E"/>
        </w:rPr>
        <w:t xml:space="preserve">lans </w:t>
      </w:r>
      <w:r>
        <w:rPr>
          <w:rFonts w:ascii="Times New Roman" w:eastAsia="Times New Roman" w:hAnsi="Times New Roman" w:cs="Times New Roman"/>
          <w:color w:val="201F1E"/>
        </w:rPr>
        <w:t xml:space="preserve">are posted on the </w:t>
      </w:r>
      <w:hyperlink r:id="rId8" w:history="1">
        <w:r w:rsidR="006202B5" w:rsidRPr="00EB3E13">
          <w:rPr>
            <w:rStyle w:val="Hyperlink"/>
            <w:rFonts w:ascii="Times New Roman" w:eastAsia="Times New Roman" w:hAnsi="Times New Roman" w:cs="Times New Roman"/>
          </w:rPr>
          <w:t>Research Continuity</w:t>
        </w:r>
      </w:hyperlink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</w:t>
      </w:r>
      <w:r w:rsidR="00372F42">
        <w:rPr>
          <w:rFonts w:ascii="Times New Roman" w:eastAsia="Times New Roman" w:hAnsi="Times New Roman" w:cs="Times New Roman"/>
          <w:color w:val="201F1E"/>
        </w:rPr>
        <w:t>webpage</w:t>
      </w:r>
      <w:r>
        <w:rPr>
          <w:rFonts w:ascii="Times New Roman" w:eastAsia="Times New Roman" w:hAnsi="Times New Roman" w:cs="Times New Roman"/>
          <w:color w:val="201F1E"/>
        </w:rPr>
        <w:t>.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A </w:t>
      </w:r>
      <w:hyperlink r:id="rId9" w:history="1">
        <w:r w:rsidR="006202B5" w:rsidRPr="0046240B">
          <w:rPr>
            <w:rStyle w:val="Hyperlink"/>
            <w:rFonts w:ascii="Times New Roman" w:eastAsia="Times New Roman" w:hAnsi="Times New Roman" w:cs="Times New Roman"/>
          </w:rPr>
          <w:t>Town Hall for Restarting Research</w:t>
        </w:r>
        <w:r w:rsidR="00E72AB0" w:rsidRPr="0046240B">
          <w:rPr>
            <w:rStyle w:val="Hyperlink"/>
            <w:rFonts w:ascii="Times New Roman" w:eastAsia="Times New Roman" w:hAnsi="Times New Roman" w:cs="Times New Roman"/>
          </w:rPr>
          <w:t xml:space="preserve"> and Creative Activities</w:t>
        </w:r>
      </w:hyperlink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will take place on </w:t>
      </w:r>
      <w:r>
        <w:rPr>
          <w:rFonts w:ascii="Times New Roman" w:eastAsia="Times New Roman" w:hAnsi="Times New Roman" w:cs="Times New Roman"/>
          <w:color w:val="201F1E"/>
        </w:rPr>
        <w:t>Thurs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day, June </w:t>
      </w:r>
      <w:r>
        <w:rPr>
          <w:rFonts w:ascii="Times New Roman" w:eastAsia="Times New Roman" w:hAnsi="Times New Roman" w:cs="Times New Roman"/>
          <w:color w:val="201F1E"/>
        </w:rPr>
        <w:t>1</w:t>
      </w:r>
      <w:r w:rsidR="00C30E3A">
        <w:rPr>
          <w:rFonts w:ascii="Times New Roman" w:eastAsia="Times New Roman" w:hAnsi="Times New Roman" w:cs="Times New Roman"/>
          <w:color w:val="201F1E"/>
        </w:rPr>
        <w:t>8</w:t>
      </w:r>
      <w:r w:rsidR="006202B5" w:rsidRPr="00DB545A">
        <w:rPr>
          <w:rFonts w:ascii="Times New Roman" w:eastAsia="Times New Roman" w:hAnsi="Times New Roman" w:cs="Times New Roman"/>
          <w:color w:val="201F1E"/>
        </w:rPr>
        <w:t xml:space="preserve"> </w:t>
      </w:r>
      <w:r w:rsidR="00372F42">
        <w:rPr>
          <w:rFonts w:ascii="Times New Roman" w:eastAsia="Times New Roman" w:hAnsi="Times New Roman" w:cs="Times New Roman"/>
          <w:color w:val="201F1E"/>
        </w:rPr>
        <w:t xml:space="preserve">at </w:t>
      </w:r>
      <w:r w:rsidR="006202B5" w:rsidRPr="00DB545A">
        <w:rPr>
          <w:rFonts w:ascii="Times New Roman" w:eastAsia="Times New Roman" w:hAnsi="Times New Roman" w:cs="Times New Roman"/>
          <w:color w:val="201F1E"/>
        </w:rPr>
        <w:t>1</w:t>
      </w:r>
      <w:r>
        <w:rPr>
          <w:rFonts w:ascii="Times New Roman" w:eastAsia="Times New Roman" w:hAnsi="Times New Roman" w:cs="Times New Roman"/>
          <w:color w:val="201F1E"/>
        </w:rPr>
        <w:t>0AM.</w:t>
      </w:r>
      <w:r w:rsidR="00E72AB0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6F2414E5" w14:textId="56428FD9" w:rsidR="00095B9F" w:rsidRDefault="00095B9F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52955F02" w14:textId="258BD9D2" w:rsidR="00095B9F" w:rsidRDefault="00095B9F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Lastly, I want to thank the </w:t>
      </w:r>
      <w:r w:rsidR="00E72AB0">
        <w:rPr>
          <w:rFonts w:ascii="Times New Roman" w:eastAsia="Times New Roman" w:hAnsi="Times New Roman" w:cs="Times New Roman"/>
          <w:color w:val="201F1E"/>
        </w:rPr>
        <w:t>20-member</w:t>
      </w:r>
      <w:r>
        <w:rPr>
          <w:rFonts w:ascii="Times New Roman" w:eastAsia="Times New Roman" w:hAnsi="Times New Roman" w:cs="Times New Roman"/>
          <w:color w:val="201F1E"/>
        </w:rPr>
        <w:t xml:space="preserve"> Task Force listed below who worked over two months </w:t>
      </w:r>
      <w:r w:rsidR="00E72AB0">
        <w:rPr>
          <w:rFonts w:ascii="Times New Roman" w:eastAsia="Times New Roman" w:hAnsi="Times New Roman" w:cs="Times New Roman"/>
          <w:color w:val="201F1E"/>
        </w:rPr>
        <w:t>in</w:t>
      </w:r>
      <w:r>
        <w:rPr>
          <w:rFonts w:ascii="Times New Roman" w:eastAsia="Times New Roman" w:hAnsi="Times New Roman" w:cs="Times New Roman"/>
          <w:color w:val="201F1E"/>
        </w:rPr>
        <w:t xml:space="preserve"> preparing detailed guidance, protocols and procedures</w:t>
      </w:r>
      <w:r w:rsidR="00606BF4">
        <w:rPr>
          <w:rFonts w:ascii="Times New Roman" w:eastAsia="Times New Roman" w:hAnsi="Times New Roman" w:cs="Times New Roman"/>
          <w:color w:val="201F1E"/>
        </w:rPr>
        <w:t xml:space="preserve"> in collaboration with other Task Forces</w:t>
      </w:r>
      <w:r>
        <w:rPr>
          <w:rFonts w:ascii="Times New Roman" w:eastAsia="Times New Roman" w:hAnsi="Times New Roman" w:cs="Times New Roman"/>
          <w:color w:val="201F1E"/>
        </w:rPr>
        <w:t xml:space="preserve"> to ensure Chapman can make the transition </w:t>
      </w:r>
      <w:r w:rsidR="00E72AB0">
        <w:rPr>
          <w:rFonts w:ascii="Times New Roman" w:eastAsia="Times New Roman" w:hAnsi="Times New Roman" w:cs="Times New Roman"/>
          <w:color w:val="201F1E"/>
        </w:rPr>
        <w:t xml:space="preserve">safely </w:t>
      </w:r>
      <w:r>
        <w:rPr>
          <w:rFonts w:ascii="Times New Roman" w:eastAsia="Times New Roman" w:hAnsi="Times New Roman" w:cs="Times New Roman"/>
          <w:color w:val="201F1E"/>
        </w:rPr>
        <w:t xml:space="preserve">from Phase 1 to Phase 2. </w:t>
      </w:r>
    </w:p>
    <w:p w14:paraId="37EDABB9" w14:textId="33E1B305" w:rsidR="00095B9F" w:rsidRDefault="00095B9F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58DA7DDD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Tom Piechota – Office of Research </w:t>
      </w:r>
    </w:p>
    <w:p w14:paraId="511B6E50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>Michael Briggs - Office of Research</w:t>
      </w:r>
    </w:p>
    <w:p w14:paraId="2463C38A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Janeen Hill – Crean College of Health and Behavioral Sciences </w:t>
      </w:r>
    </w:p>
    <w:p w14:paraId="22513BC2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Ron Jordan – School of Pharmacy </w:t>
      </w:r>
    </w:p>
    <w:p w14:paraId="216E44EA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Jason Keller – Schmid College of Science and Technology </w:t>
      </w:r>
    </w:p>
    <w:p w14:paraId="1E568AC5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Andrew Lyon – Fowler School of Engineering </w:t>
      </w:r>
    </w:p>
    <w:p w14:paraId="79165F29" w14:textId="1CAA7D71" w:rsidR="00095B9F" w:rsidRDefault="00095B9F" w:rsidP="00095B9F">
      <w:pPr>
        <w:pStyle w:val="ListParagraph"/>
        <w:numPr>
          <w:ilvl w:val="0"/>
          <w:numId w:val="4"/>
        </w:numPr>
      </w:pPr>
      <w:r>
        <w:t>Jennifer Keene – Wilkinson College of Arts, Humanities</w:t>
      </w:r>
      <w:r w:rsidR="003A73D9">
        <w:t>,</w:t>
      </w:r>
      <w:r>
        <w:t xml:space="preserve"> and Social Sciences </w:t>
      </w:r>
    </w:p>
    <w:p w14:paraId="6A4D9F8E" w14:textId="432C2461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Ren Ostrom – </w:t>
      </w:r>
      <w:r w:rsidR="003A73D9">
        <w:t xml:space="preserve">Research </w:t>
      </w:r>
      <w:r>
        <w:t xml:space="preserve">Faculty Fellow and School of Pharmacy </w:t>
      </w:r>
    </w:p>
    <w:p w14:paraId="3EEEE793" w14:textId="2D665104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Laura Glynn –Crean College of Health and Behavioral Sciences </w:t>
      </w:r>
    </w:p>
    <w:p w14:paraId="6E36B5D6" w14:textId="77777777" w:rsidR="00095B9F" w:rsidRDefault="00095B9F" w:rsidP="003A73D9">
      <w:pPr>
        <w:pStyle w:val="ListParagraph"/>
        <w:numPr>
          <w:ilvl w:val="0"/>
          <w:numId w:val="4"/>
        </w:numPr>
        <w:tabs>
          <w:tab w:val="left" w:pos="720"/>
        </w:tabs>
      </w:pPr>
      <w:r w:rsidRPr="00664477">
        <w:t xml:space="preserve">Jennifer </w:t>
      </w:r>
      <w:proofErr w:type="spellStart"/>
      <w:r w:rsidRPr="00664477">
        <w:t>Grumet</w:t>
      </w:r>
      <w:proofErr w:type="spellEnd"/>
      <w:r>
        <w:t xml:space="preserve"> – Crean College of Health and Behavioral Science and Liaison between Clinical Task Force </w:t>
      </w:r>
    </w:p>
    <w:p w14:paraId="43EABEDD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>Sue Duff – IRB member and Crean College of Health and Behavioral Sciences</w:t>
      </w:r>
    </w:p>
    <w:p w14:paraId="1FA90253" w14:textId="193E295A" w:rsidR="00095B9F" w:rsidRDefault="00095B9F" w:rsidP="00095B9F">
      <w:pPr>
        <w:pStyle w:val="ListParagraph"/>
        <w:numPr>
          <w:ilvl w:val="0"/>
          <w:numId w:val="4"/>
        </w:numPr>
      </w:pPr>
      <w:r>
        <w:t>Pete Simi – IRB Chair and Wilkinson College of Arts, Humanities</w:t>
      </w:r>
      <w:r w:rsidR="003A73D9">
        <w:t>,</w:t>
      </w:r>
      <w:r>
        <w:t xml:space="preserve"> and Social Sciences </w:t>
      </w:r>
    </w:p>
    <w:p w14:paraId="31CADC0E" w14:textId="11E3D971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Surya Nauli – IACUC Chair and School of Pharmacy </w:t>
      </w:r>
    </w:p>
    <w:p w14:paraId="4E68DDE0" w14:textId="43F40C1D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Roxanne Miller – Provost Office / Graduate Studies and </w:t>
      </w:r>
      <w:proofErr w:type="spellStart"/>
      <w:r>
        <w:t>Attallah</w:t>
      </w:r>
      <w:proofErr w:type="spellEnd"/>
      <w:r>
        <w:t xml:space="preserve"> College of Educational Studies  </w:t>
      </w:r>
    </w:p>
    <w:p w14:paraId="2814BD95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Phillip Lyle – IS&amp;T </w:t>
      </w:r>
    </w:p>
    <w:p w14:paraId="3EB9C37D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Kevin Ross – Library </w:t>
      </w:r>
    </w:p>
    <w:p w14:paraId="778D5B63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>Allan Brooks – EH&amp;S</w:t>
      </w:r>
    </w:p>
    <w:p w14:paraId="04F7E206" w14:textId="13CF5153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Rick Turner – Facilities Management </w:t>
      </w:r>
    </w:p>
    <w:p w14:paraId="34A6B9CD" w14:textId="77777777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Jacqueline </w:t>
      </w:r>
      <w:proofErr w:type="spellStart"/>
      <w:r>
        <w:t>Deats</w:t>
      </w:r>
      <w:proofErr w:type="spellEnd"/>
      <w:r>
        <w:t xml:space="preserve"> – Student Health </w:t>
      </w:r>
    </w:p>
    <w:p w14:paraId="7B32BB18" w14:textId="441490B0" w:rsidR="00095B9F" w:rsidRDefault="00095B9F" w:rsidP="00095B9F">
      <w:pPr>
        <w:pStyle w:val="ListParagraph"/>
        <w:numPr>
          <w:ilvl w:val="0"/>
          <w:numId w:val="4"/>
        </w:numPr>
      </w:pPr>
      <w:r>
        <w:t xml:space="preserve">Jill Borland – Office of Research and </w:t>
      </w:r>
      <w:r w:rsidR="00372F42">
        <w:t>Liaison</w:t>
      </w:r>
      <w:r>
        <w:t xml:space="preserve"> with Staff and Admin Task Force </w:t>
      </w:r>
    </w:p>
    <w:p w14:paraId="64408ED0" w14:textId="77777777" w:rsidR="00095B9F" w:rsidRDefault="00095B9F" w:rsidP="00095B9F"/>
    <w:p w14:paraId="749DA659" w14:textId="77777777" w:rsidR="00095B9F" w:rsidRPr="00DB545A" w:rsidRDefault="00095B9F" w:rsidP="000F7513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60FDEB7C" w14:textId="77777777" w:rsidR="006202B5" w:rsidRPr="00DB545A" w:rsidRDefault="006202B5" w:rsidP="000F7513">
      <w:pPr>
        <w:shd w:val="clear" w:color="auto" w:fill="FFFFFF"/>
        <w:rPr>
          <w:rFonts w:ascii="Calibri" w:eastAsia="Times New Roman" w:hAnsi="Calibri" w:cs="Calibri"/>
          <w:color w:val="201F1E"/>
        </w:rPr>
      </w:pPr>
    </w:p>
    <w:p w14:paraId="6940AFEC" w14:textId="4381D88B" w:rsidR="000F7513" w:rsidRPr="000F7513" w:rsidRDefault="000F7513" w:rsidP="006202B5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0F7513">
        <w:rPr>
          <w:rFonts w:ascii="Calibri" w:eastAsia="Times New Roman" w:hAnsi="Calibri" w:cs="Calibri"/>
          <w:color w:val="201F1E"/>
        </w:rPr>
        <w:t> </w:t>
      </w:r>
    </w:p>
    <w:p w14:paraId="34F213FE" w14:textId="77777777" w:rsidR="000B24D1" w:rsidRDefault="000B24D1"/>
    <w:sectPr w:rsidR="000B24D1" w:rsidSect="006D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47E"/>
    <w:multiLevelType w:val="hybridMultilevel"/>
    <w:tmpl w:val="764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393E"/>
    <w:multiLevelType w:val="hybridMultilevel"/>
    <w:tmpl w:val="6194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93307"/>
    <w:multiLevelType w:val="multilevel"/>
    <w:tmpl w:val="A3AA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03159"/>
    <w:multiLevelType w:val="multilevel"/>
    <w:tmpl w:val="CF1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3"/>
    <w:rsid w:val="00095B9F"/>
    <w:rsid w:val="000B24D1"/>
    <w:rsid w:val="000F7513"/>
    <w:rsid w:val="00111C7E"/>
    <w:rsid w:val="001B3662"/>
    <w:rsid w:val="00245043"/>
    <w:rsid w:val="0027389D"/>
    <w:rsid w:val="002D3532"/>
    <w:rsid w:val="00372F42"/>
    <w:rsid w:val="003A73D9"/>
    <w:rsid w:val="00454CB3"/>
    <w:rsid w:val="0046240B"/>
    <w:rsid w:val="00532C57"/>
    <w:rsid w:val="005718E0"/>
    <w:rsid w:val="005C0B98"/>
    <w:rsid w:val="00606BF4"/>
    <w:rsid w:val="006202B5"/>
    <w:rsid w:val="006B5548"/>
    <w:rsid w:val="006D413D"/>
    <w:rsid w:val="00742AAE"/>
    <w:rsid w:val="00745998"/>
    <w:rsid w:val="008C3482"/>
    <w:rsid w:val="008C3B5E"/>
    <w:rsid w:val="00A43EC0"/>
    <w:rsid w:val="00A471D3"/>
    <w:rsid w:val="00B62084"/>
    <w:rsid w:val="00C30E3A"/>
    <w:rsid w:val="00CE10E1"/>
    <w:rsid w:val="00D679EB"/>
    <w:rsid w:val="00DA38EA"/>
    <w:rsid w:val="00DB545A"/>
    <w:rsid w:val="00E33A3D"/>
    <w:rsid w:val="00E46C27"/>
    <w:rsid w:val="00E72AB0"/>
    <w:rsid w:val="00EB3E13"/>
    <w:rsid w:val="00F71F2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93E"/>
  <w15:chartTrackingRefBased/>
  <w15:docId w15:val="{7A57FF12-91D2-344D-A9C1-9925F448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5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so2ikoolg">
    <w:name w:val="markso2ikoolg"/>
    <w:basedOn w:val="DefaultParagraphFont"/>
    <w:rsid w:val="000F7513"/>
  </w:style>
  <w:style w:type="character" w:styleId="Hyperlink">
    <w:name w:val="Hyperlink"/>
    <w:basedOn w:val="DefaultParagraphFont"/>
    <w:uiPriority w:val="99"/>
    <w:unhideWhenUsed/>
    <w:rsid w:val="000F7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2B5"/>
    <w:pPr>
      <w:ind w:left="720"/>
      <w:contextualSpacing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38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pman.edu/research/covid-19-research-continuity/covid-19-research-continui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ca.gov/img/EssentialCriticalInfrastructureWork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chapman.edu/wp-content/uploads/2020/05/CU-Safely-Back-Plan526202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jUzOTk3MmMtNDhkNy00MTQ4LTkyYzYtOTEwNjEzZDY2ZmE3%40thread.v2/0?context=%7b%22Tid%22%3a%22809929af-2d25-45bf-9837-089eb9cfbd01%22%2c%22Oid%22%3a%22780221d6-ae58-4dd5-b60a-af80ef8486f2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Piechota, Thomas</dc:creator>
  <cp:keywords/>
  <dc:description/>
  <cp:lastModifiedBy>Stroop, Taryn</cp:lastModifiedBy>
  <cp:revision>4</cp:revision>
  <dcterms:created xsi:type="dcterms:W3CDTF">2020-06-16T22:00:00Z</dcterms:created>
  <dcterms:modified xsi:type="dcterms:W3CDTF">2020-06-17T20:46:00Z</dcterms:modified>
</cp:coreProperties>
</file>